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7F4AF" w14:textId="19F07296" w:rsidR="003E27F2" w:rsidRPr="001C1A2E" w:rsidRDefault="001C1A2E" w:rsidP="001B5FD6">
      <w:pPr>
        <w:jc w:val="both"/>
        <w:rPr>
          <w:b/>
          <w:sz w:val="40"/>
          <w:lang w:val="en-US"/>
        </w:rPr>
      </w:pPr>
      <w:r w:rsidRPr="001C1A2E">
        <w:rPr>
          <w:b/>
          <w:sz w:val="40"/>
          <w:lang w:val="en-US"/>
        </w:rPr>
        <w:t>Sustainable Steel Charter</w:t>
      </w:r>
    </w:p>
    <w:p w14:paraId="4DBECDAC" w14:textId="2BE515F4" w:rsidR="001C1A2E" w:rsidRDefault="001C1A2E" w:rsidP="001B5FD6">
      <w:pPr>
        <w:jc w:val="both"/>
        <w:rPr>
          <w:sz w:val="32"/>
          <w:lang w:val="en-US"/>
        </w:rPr>
      </w:pPr>
    </w:p>
    <w:p w14:paraId="0E87FCA6" w14:textId="186B4A80" w:rsidR="001C1A2E" w:rsidRDefault="001C1A2E" w:rsidP="001B5FD6">
      <w:pPr>
        <w:jc w:val="both"/>
        <w:rPr>
          <w:sz w:val="28"/>
          <w:szCs w:val="28"/>
          <w:lang w:val="en-US"/>
        </w:rPr>
      </w:pPr>
      <w:bookmarkStart w:id="0" w:name="_GoBack"/>
      <w:r w:rsidRPr="001C1A2E">
        <w:rPr>
          <w:sz w:val="28"/>
          <w:szCs w:val="28"/>
          <w:lang w:val="en-US"/>
        </w:rPr>
        <w:t xml:space="preserve">Members of the Sustainable Steel Council are committed to a vision where steel is valued as a critical </w:t>
      </w:r>
      <w:r>
        <w:rPr>
          <w:sz w:val="28"/>
          <w:szCs w:val="28"/>
          <w:lang w:val="en-US"/>
        </w:rPr>
        <w:t xml:space="preserve">enabler in New Zealand’s journey to a low emission economy.  The vision is achieved by </w:t>
      </w:r>
      <w:r w:rsidR="00BB04B1">
        <w:rPr>
          <w:sz w:val="28"/>
          <w:szCs w:val="28"/>
          <w:lang w:val="en-US"/>
        </w:rPr>
        <w:t>an industry which has a strong history of being financially sound,</w:t>
      </w:r>
      <w:r>
        <w:rPr>
          <w:sz w:val="28"/>
          <w:szCs w:val="28"/>
          <w:lang w:val="en-US"/>
        </w:rPr>
        <w:t xml:space="preserve"> taking leadership in delivering to the</w:t>
      </w:r>
      <w:r w:rsidR="002C29A4">
        <w:rPr>
          <w:sz w:val="28"/>
          <w:szCs w:val="28"/>
          <w:lang w:val="en-US"/>
        </w:rPr>
        <w:t xml:space="preserve"> l</w:t>
      </w:r>
      <w:r>
        <w:rPr>
          <w:sz w:val="28"/>
          <w:szCs w:val="28"/>
          <w:lang w:val="en-US"/>
        </w:rPr>
        <w:t xml:space="preserve">iving </w:t>
      </w:r>
      <w:r w:rsidR="002C29A4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tandards framework</w:t>
      </w:r>
      <w:r w:rsidR="002C29A4">
        <w:rPr>
          <w:sz w:val="28"/>
          <w:szCs w:val="28"/>
          <w:lang w:val="en-US"/>
        </w:rPr>
        <w:t>, measured</w:t>
      </w:r>
      <w:r>
        <w:rPr>
          <w:sz w:val="28"/>
          <w:szCs w:val="28"/>
          <w:lang w:val="en-US"/>
        </w:rPr>
        <w:t xml:space="preserve"> across human, social, natural and financial / infrastructure capitals.</w:t>
      </w:r>
    </w:p>
    <w:p w14:paraId="32588385" w14:textId="08BA4888" w:rsidR="001C1A2E" w:rsidRDefault="001C1A2E" w:rsidP="001B5FD6">
      <w:pPr>
        <w:jc w:val="both"/>
        <w:rPr>
          <w:sz w:val="28"/>
          <w:szCs w:val="28"/>
          <w:lang w:val="en-US"/>
        </w:rPr>
      </w:pPr>
    </w:p>
    <w:bookmarkEnd w:id="0"/>
    <w:p w14:paraId="6D7D3A42" w14:textId="70CB4464" w:rsidR="001C1A2E" w:rsidRDefault="001C1A2E" w:rsidP="001B5FD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Sustainable Steel Council’s materiality assessment has identified the following  critical issues  for our sector</w:t>
      </w:r>
      <w:r w:rsidR="00961FE9">
        <w:rPr>
          <w:sz w:val="28"/>
          <w:szCs w:val="28"/>
          <w:lang w:val="en-US"/>
        </w:rPr>
        <w:t>, which are linked to the corresponding UN global goals for Sustainable Development</w:t>
      </w:r>
      <w:r w:rsidR="001B5FD6">
        <w:rPr>
          <w:sz w:val="28"/>
          <w:szCs w:val="28"/>
          <w:lang w:val="en-US"/>
        </w:rPr>
        <w:t>.</w:t>
      </w:r>
    </w:p>
    <w:p w14:paraId="4C4DEEDA" w14:textId="77777777" w:rsidR="00961FE9" w:rsidRDefault="00961FE9" w:rsidP="001B5FD6">
      <w:pPr>
        <w:jc w:val="both"/>
        <w:rPr>
          <w:sz w:val="28"/>
          <w:szCs w:val="28"/>
          <w:lang w:val="en-US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425"/>
      </w:tblGrid>
      <w:tr w:rsidR="00573C9E" w:rsidRPr="00961FE9" w14:paraId="40BCE564" w14:textId="270AAD95" w:rsidTr="009937AA">
        <w:tc>
          <w:tcPr>
            <w:tcW w:w="8642" w:type="dxa"/>
          </w:tcPr>
          <w:p w14:paraId="4EE12CF4" w14:textId="77777777" w:rsidR="00961FE9" w:rsidRDefault="00961FE9" w:rsidP="001B5FD6">
            <w:pPr>
              <w:jc w:val="both"/>
              <w:rPr>
                <w:sz w:val="28"/>
                <w:szCs w:val="28"/>
                <w:lang w:val="en-US"/>
              </w:rPr>
            </w:pPr>
            <w:r w:rsidRPr="00961FE9">
              <w:rPr>
                <w:sz w:val="28"/>
                <w:szCs w:val="28"/>
                <w:lang w:val="en-US"/>
              </w:rPr>
              <w:t>Safety and Health</w:t>
            </w:r>
          </w:p>
          <w:p w14:paraId="1C4DC28D" w14:textId="6715CAB8" w:rsidR="00573C9E" w:rsidRDefault="001B5FD6" w:rsidP="001B5FD6">
            <w:pPr>
              <w:jc w:val="both"/>
              <w:rPr>
                <w:color w:val="595959" w:themeColor="text1" w:themeTint="A6"/>
                <w:sz w:val="21"/>
                <w:szCs w:val="20"/>
                <w:lang w:val="en-US"/>
              </w:rPr>
            </w:pPr>
            <w:r w:rsidRPr="00E63EBA">
              <w:rPr>
                <w:color w:val="595959" w:themeColor="text1" w:themeTint="A6"/>
                <w:sz w:val="21"/>
                <w:szCs w:val="20"/>
                <w:lang w:val="en-US"/>
              </w:rPr>
              <w:t>Foster well</w:t>
            </w:r>
            <w:r>
              <w:rPr>
                <w:color w:val="595959" w:themeColor="text1" w:themeTint="A6"/>
                <w:sz w:val="21"/>
                <w:szCs w:val="20"/>
                <w:lang w:val="en-US"/>
              </w:rPr>
              <w:t>-</w:t>
            </w:r>
            <w:r w:rsidRPr="00E63EBA">
              <w:rPr>
                <w:color w:val="595959" w:themeColor="text1" w:themeTint="A6"/>
                <w:sz w:val="21"/>
                <w:szCs w:val="20"/>
                <w:lang w:val="en-US"/>
              </w:rPr>
              <w:t>being of employees</w:t>
            </w:r>
            <w:r>
              <w:rPr>
                <w:color w:val="595959" w:themeColor="text1" w:themeTint="A6"/>
                <w:sz w:val="21"/>
                <w:szCs w:val="20"/>
                <w:lang w:val="en-US"/>
              </w:rPr>
              <w:t>.  P</w:t>
            </w:r>
            <w:r w:rsidR="00E63EBA" w:rsidRPr="00E63EBA">
              <w:rPr>
                <w:color w:val="595959" w:themeColor="text1" w:themeTint="A6"/>
                <w:sz w:val="21"/>
                <w:szCs w:val="20"/>
                <w:lang w:val="en-US"/>
              </w:rPr>
              <w:t xml:space="preserve">rovide them with a </w:t>
            </w:r>
            <w:r w:rsidR="00BB04B1">
              <w:rPr>
                <w:color w:val="595959" w:themeColor="text1" w:themeTint="A6"/>
                <w:sz w:val="21"/>
                <w:szCs w:val="20"/>
                <w:lang w:val="en-US"/>
              </w:rPr>
              <w:t>work environment that is, as far as reasonably practical, without risks to their health and safety,</w:t>
            </w:r>
            <w:r w:rsidR="00E63EBA" w:rsidRPr="00E63EBA">
              <w:rPr>
                <w:color w:val="595959" w:themeColor="text1" w:themeTint="A6"/>
                <w:sz w:val="21"/>
                <w:szCs w:val="20"/>
                <w:lang w:val="en-US"/>
              </w:rPr>
              <w:t xml:space="preserve"> enabling them to return safely to their families at the end of each working day.</w:t>
            </w:r>
          </w:p>
          <w:p w14:paraId="0C44A6BA" w14:textId="66B3D70C" w:rsidR="002C29A4" w:rsidRPr="00961FE9" w:rsidRDefault="002C29A4" w:rsidP="001B5FD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14:paraId="5FB1F702" w14:textId="38B7708E" w:rsidR="00961FE9" w:rsidRPr="00961FE9" w:rsidRDefault="00961FE9" w:rsidP="001B5FD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573C9E">
              <w:rPr>
                <w:sz w:val="28"/>
                <w:szCs w:val="28"/>
                <w:lang w:val="en-US"/>
              </w:rPr>
              <w:t xml:space="preserve">  </w:t>
            </w:r>
          </w:p>
        </w:tc>
      </w:tr>
      <w:tr w:rsidR="00573C9E" w:rsidRPr="00961FE9" w14:paraId="3C2F18F4" w14:textId="495DE550" w:rsidTr="009937AA">
        <w:tc>
          <w:tcPr>
            <w:tcW w:w="8642" w:type="dxa"/>
          </w:tcPr>
          <w:p w14:paraId="34FBF6D3" w14:textId="3F80CB43" w:rsidR="00961FE9" w:rsidRDefault="00961FE9" w:rsidP="001B5FD6">
            <w:pPr>
              <w:jc w:val="both"/>
              <w:rPr>
                <w:sz w:val="28"/>
                <w:szCs w:val="28"/>
                <w:lang w:val="en-US"/>
              </w:rPr>
            </w:pPr>
            <w:r w:rsidRPr="00961FE9">
              <w:rPr>
                <w:sz w:val="28"/>
                <w:szCs w:val="28"/>
                <w:lang w:val="en-US"/>
              </w:rPr>
              <w:t>Climate change</w:t>
            </w:r>
          </w:p>
          <w:p w14:paraId="5B8456F3" w14:textId="69F980AD" w:rsidR="00573C9E" w:rsidRDefault="00E63EBA" w:rsidP="001B5FD6">
            <w:pPr>
              <w:jc w:val="both"/>
              <w:rPr>
                <w:color w:val="595959" w:themeColor="text1" w:themeTint="A6"/>
                <w:sz w:val="21"/>
                <w:szCs w:val="20"/>
                <w:lang w:val="en-US"/>
              </w:rPr>
            </w:pPr>
            <w:r>
              <w:rPr>
                <w:color w:val="595959" w:themeColor="text1" w:themeTint="A6"/>
                <w:sz w:val="21"/>
                <w:szCs w:val="20"/>
                <w:lang w:val="en-US"/>
              </w:rPr>
              <w:t>Taking a holistic approach based on the Living Standards framework</w:t>
            </w:r>
            <w:r w:rsidR="002C29A4">
              <w:rPr>
                <w:color w:val="595959" w:themeColor="text1" w:themeTint="A6"/>
                <w:sz w:val="21"/>
                <w:szCs w:val="20"/>
                <w:lang w:val="en-US"/>
              </w:rPr>
              <w:t xml:space="preserve">.  </w:t>
            </w:r>
            <w:r w:rsidR="002C29A4" w:rsidRPr="00E63EBA">
              <w:rPr>
                <w:color w:val="595959" w:themeColor="text1" w:themeTint="A6"/>
                <w:sz w:val="21"/>
                <w:szCs w:val="20"/>
                <w:lang w:val="en-US"/>
              </w:rPr>
              <w:t xml:space="preserve">Climate Change is a global challenge that </w:t>
            </w:r>
            <w:r w:rsidR="001B5FD6" w:rsidRPr="00E63EBA">
              <w:rPr>
                <w:color w:val="595959" w:themeColor="text1" w:themeTint="A6"/>
                <w:sz w:val="21"/>
                <w:szCs w:val="20"/>
                <w:lang w:val="en-US"/>
              </w:rPr>
              <w:t>affects</w:t>
            </w:r>
            <w:r w:rsidR="002C29A4" w:rsidRPr="00E63EBA">
              <w:rPr>
                <w:color w:val="595959" w:themeColor="text1" w:themeTint="A6"/>
                <w:sz w:val="21"/>
                <w:szCs w:val="20"/>
                <w:lang w:val="en-US"/>
              </w:rPr>
              <w:t xml:space="preserve"> everyone, ever</w:t>
            </w:r>
            <w:r w:rsidR="002C29A4">
              <w:rPr>
                <w:color w:val="595959" w:themeColor="text1" w:themeTint="A6"/>
                <w:sz w:val="21"/>
                <w:szCs w:val="20"/>
                <w:lang w:val="en-US"/>
              </w:rPr>
              <w:t>y</w:t>
            </w:r>
            <w:r w:rsidR="002C29A4" w:rsidRPr="00E63EBA">
              <w:rPr>
                <w:color w:val="595959" w:themeColor="text1" w:themeTint="A6"/>
                <w:sz w:val="21"/>
                <w:szCs w:val="20"/>
                <w:lang w:val="en-US"/>
              </w:rPr>
              <w:t>where</w:t>
            </w:r>
            <w:r w:rsidR="002C29A4">
              <w:rPr>
                <w:color w:val="595959" w:themeColor="text1" w:themeTint="A6"/>
                <w:sz w:val="21"/>
                <w:szCs w:val="20"/>
                <w:lang w:val="en-US"/>
              </w:rPr>
              <w:t xml:space="preserve">.  </w:t>
            </w:r>
          </w:p>
          <w:p w14:paraId="29B91388" w14:textId="6E2D50DE" w:rsidR="002C29A4" w:rsidRPr="00E63EBA" w:rsidRDefault="002C29A4" w:rsidP="001B5FD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323302E2" w14:textId="276DA007" w:rsidR="00961FE9" w:rsidRPr="00961FE9" w:rsidRDefault="00961FE9" w:rsidP="001B5FD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73C9E" w:rsidRPr="00961FE9" w14:paraId="4104A8E6" w14:textId="6A026341" w:rsidTr="009937AA">
        <w:tc>
          <w:tcPr>
            <w:tcW w:w="8642" w:type="dxa"/>
          </w:tcPr>
          <w:p w14:paraId="2996D878" w14:textId="77777777" w:rsidR="00961FE9" w:rsidRDefault="00961FE9" w:rsidP="001B5FD6">
            <w:pPr>
              <w:jc w:val="both"/>
              <w:rPr>
                <w:sz w:val="28"/>
                <w:szCs w:val="28"/>
                <w:lang w:val="en-US"/>
              </w:rPr>
            </w:pPr>
            <w:r w:rsidRPr="00961FE9">
              <w:rPr>
                <w:sz w:val="28"/>
                <w:szCs w:val="28"/>
                <w:lang w:val="en-US"/>
              </w:rPr>
              <w:t>Waste and the Circular Economy</w:t>
            </w:r>
          </w:p>
          <w:p w14:paraId="03BC92DA" w14:textId="110BDD54" w:rsidR="00573C9E" w:rsidRDefault="002C29A4" w:rsidP="001B5FD6">
            <w:pPr>
              <w:jc w:val="both"/>
              <w:rPr>
                <w:color w:val="595959" w:themeColor="text1" w:themeTint="A6"/>
                <w:sz w:val="21"/>
                <w:szCs w:val="20"/>
                <w:lang w:val="en-US"/>
              </w:rPr>
            </w:pPr>
            <w:r>
              <w:rPr>
                <w:color w:val="595959" w:themeColor="text1" w:themeTint="A6"/>
                <w:sz w:val="21"/>
                <w:szCs w:val="20"/>
                <w:lang w:val="en-US"/>
              </w:rPr>
              <w:t>S</w:t>
            </w:r>
            <w:r w:rsidRPr="002C29A4">
              <w:rPr>
                <w:color w:val="595959" w:themeColor="text1" w:themeTint="A6"/>
                <w:sz w:val="21"/>
                <w:szCs w:val="20"/>
                <w:lang w:val="en-US"/>
              </w:rPr>
              <w:t>trive to optimise the eco-efficiency of products throughout</w:t>
            </w:r>
            <w:r>
              <w:rPr>
                <w:color w:val="595959" w:themeColor="text1" w:themeTint="A6"/>
                <w:sz w:val="21"/>
                <w:szCs w:val="20"/>
                <w:lang w:val="en-US"/>
              </w:rPr>
              <w:t xml:space="preserve"> </w:t>
            </w:r>
            <w:r w:rsidRPr="002C29A4">
              <w:rPr>
                <w:color w:val="595959" w:themeColor="text1" w:themeTint="A6"/>
                <w:sz w:val="21"/>
                <w:szCs w:val="20"/>
                <w:lang w:val="en-US"/>
              </w:rPr>
              <w:t xml:space="preserve">their life cycle. </w:t>
            </w:r>
            <w:r>
              <w:rPr>
                <w:color w:val="595959" w:themeColor="text1" w:themeTint="A6"/>
                <w:sz w:val="21"/>
                <w:szCs w:val="20"/>
                <w:lang w:val="en-US"/>
              </w:rPr>
              <w:t>Design for upcycle, re-purpose, reuse and recycling.  S</w:t>
            </w:r>
            <w:r w:rsidR="00E63EBA" w:rsidRPr="00E63EBA">
              <w:rPr>
                <w:color w:val="595959" w:themeColor="text1" w:themeTint="A6"/>
                <w:sz w:val="21"/>
                <w:szCs w:val="20"/>
                <w:lang w:val="en-US"/>
              </w:rPr>
              <w:t>eparate the technical from the biological</w:t>
            </w:r>
            <w:r>
              <w:rPr>
                <w:color w:val="595959" w:themeColor="text1" w:themeTint="A6"/>
                <w:sz w:val="21"/>
                <w:szCs w:val="20"/>
                <w:lang w:val="en-US"/>
              </w:rPr>
              <w:t>.</w:t>
            </w:r>
          </w:p>
          <w:p w14:paraId="75DD2C98" w14:textId="7F087D51" w:rsidR="002C29A4" w:rsidRPr="00961FE9" w:rsidRDefault="002C29A4" w:rsidP="001B5FD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14:paraId="78A69591" w14:textId="1922222A" w:rsidR="00961FE9" w:rsidRPr="00961FE9" w:rsidRDefault="009937AA" w:rsidP="001B5FD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</w:tr>
      <w:tr w:rsidR="00573C9E" w:rsidRPr="00961FE9" w14:paraId="53112B3F" w14:textId="29C4DD87" w:rsidTr="009937AA">
        <w:tc>
          <w:tcPr>
            <w:tcW w:w="8642" w:type="dxa"/>
          </w:tcPr>
          <w:p w14:paraId="3E26F9CC" w14:textId="77777777" w:rsidR="00961FE9" w:rsidRDefault="00961FE9" w:rsidP="001B5FD6">
            <w:pPr>
              <w:jc w:val="both"/>
              <w:rPr>
                <w:sz w:val="28"/>
                <w:szCs w:val="28"/>
                <w:lang w:val="en-US"/>
              </w:rPr>
            </w:pPr>
            <w:r w:rsidRPr="00961FE9">
              <w:rPr>
                <w:sz w:val="28"/>
                <w:szCs w:val="28"/>
                <w:lang w:val="en-US"/>
              </w:rPr>
              <w:t xml:space="preserve">Diversity, inclusivity, engagement with Iwi and life-long learning </w:t>
            </w:r>
          </w:p>
          <w:p w14:paraId="4AAAE8F3" w14:textId="77777777" w:rsidR="009937AA" w:rsidRDefault="00E63EBA" w:rsidP="001B5FD6">
            <w:pPr>
              <w:jc w:val="both"/>
              <w:rPr>
                <w:color w:val="595959" w:themeColor="text1" w:themeTint="A6"/>
                <w:sz w:val="21"/>
                <w:szCs w:val="20"/>
                <w:lang w:val="en-US"/>
              </w:rPr>
            </w:pPr>
            <w:r w:rsidRPr="00E63EBA">
              <w:rPr>
                <w:color w:val="595959" w:themeColor="text1" w:themeTint="A6"/>
                <w:sz w:val="21"/>
                <w:szCs w:val="20"/>
                <w:lang w:val="en-US"/>
              </w:rPr>
              <w:t>To reduce inequalities, policies should be universal in principle, paying attention to the needs of disadvantaged and marginalized populations.</w:t>
            </w:r>
            <w:r w:rsidR="002C29A4">
              <w:rPr>
                <w:color w:val="595959" w:themeColor="text1" w:themeTint="A6"/>
                <w:sz w:val="21"/>
                <w:szCs w:val="20"/>
                <w:lang w:val="en-US"/>
              </w:rPr>
              <w:t xml:space="preserve">  C</w:t>
            </w:r>
            <w:r w:rsidR="002C29A4" w:rsidRPr="002C29A4">
              <w:rPr>
                <w:color w:val="595959" w:themeColor="text1" w:themeTint="A6"/>
                <w:sz w:val="21"/>
                <w:szCs w:val="20"/>
                <w:lang w:val="en-US"/>
              </w:rPr>
              <w:t>reate the conditions that allow people to have quality jobs.</w:t>
            </w:r>
          </w:p>
          <w:p w14:paraId="6AD045C3" w14:textId="745A6393" w:rsidR="002C29A4" w:rsidRPr="002C29A4" w:rsidRDefault="002C29A4" w:rsidP="001B5FD6">
            <w:pPr>
              <w:jc w:val="both"/>
              <w:rPr>
                <w:color w:val="595959" w:themeColor="text1" w:themeTint="A6"/>
                <w:sz w:val="21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07355A5" w14:textId="3FD5C8FE" w:rsidR="00961FE9" w:rsidRPr="00961FE9" w:rsidRDefault="00573C9E" w:rsidP="001B5FD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</w:p>
        </w:tc>
      </w:tr>
      <w:tr w:rsidR="00573C9E" w:rsidRPr="00961FE9" w14:paraId="3C3ACD73" w14:textId="63A946FF" w:rsidTr="009937AA">
        <w:tc>
          <w:tcPr>
            <w:tcW w:w="8642" w:type="dxa"/>
          </w:tcPr>
          <w:p w14:paraId="47024808" w14:textId="77777777" w:rsidR="00961FE9" w:rsidRDefault="00961FE9" w:rsidP="001B5FD6">
            <w:pPr>
              <w:jc w:val="both"/>
              <w:rPr>
                <w:sz w:val="28"/>
                <w:szCs w:val="28"/>
                <w:lang w:val="en-US"/>
              </w:rPr>
            </w:pPr>
            <w:r w:rsidRPr="00961FE9">
              <w:rPr>
                <w:sz w:val="28"/>
                <w:szCs w:val="28"/>
                <w:lang w:val="en-US"/>
              </w:rPr>
              <w:t>Product quality and resilience</w:t>
            </w:r>
          </w:p>
          <w:p w14:paraId="333C18EA" w14:textId="429791BB" w:rsidR="009937AA" w:rsidRDefault="00BB04B1" w:rsidP="001B5FD6">
            <w:pPr>
              <w:jc w:val="both"/>
              <w:rPr>
                <w:color w:val="595959" w:themeColor="text1" w:themeTint="A6"/>
                <w:sz w:val="21"/>
                <w:szCs w:val="20"/>
                <w:lang w:val="en-US"/>
              </w:rPr>
            </w:pPr>
            <w:r>
              <w:rPr>
                <w:color w:val="595959" w:themeColor="text1" w:themeTint="A6"/>
                <w:sz w:val="21"/>
                <w:szCs w:val="20"/>
                <w:lang w:val="en-US"/>
              </w:rPr>
              <w:t>Strive</w:t>
            </w:r>
            <w:r w:rsidR="00E63EBA" w:rsidRPr="00E63EBA">
              <w:rPr>
                <w:color w:val="595959" w:themeColor="text1" w:themeTint="A6"/>
                <w:sz w:val="21"/>
                <w:szCs w:val="20"/>
                <w:lang w:val="en-US"/>
              </w:rPr>
              <w:t xml:space="preserve"> to meet future challenges of climate change and our shakey isles</w:t>
            </w:r>
          </w:p>
          <w:p w14:paraId="54B4EED2" w14:textId="19B79782" w:rsidR="002C29A4" w:rsidRPr="00961FE9" w:rsidRDefault="002C29A4" w:rsidP="001B5FD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14:paraId="70159D58" w14:textId="77777777" w:rsidR="00961FE9" w:rsidRPr="00961FE9" w:rsidRDefault="00961FE9" w:rsidP="001B5FD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73C9E" w:rsidRPr="001C1A2E" w14:paraId="10E26A06" w14:textId="0842362D" w:rsidTr="009937AA">
        <w:tc>
          <w:tcPr>
            <w:tcW w:w="8642" w:type="dxa"/>
          </w:tcPr>
          <w:p w14:paraId="5D88922A" w14:textId="751BD552" w:rsidR="00961FE9" w:rsidRDefault="009937AA" w:rsidP="001B5FD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Transparency, ethics and legal compliance</w:t>
            </w:r>
          </w:p>
          <w:p w14:paraId="3269EFC6" w14:textId="77777777" w:rsidR="009937AA" w:rsidRDefault="009937AA" w:rsidP="001B5FD6">
            <w:pPr>
              <w:jc w:val="both"/>
              <w:rPr>
                <w:color w:val="595959" w:themeColor="text1" w:themeTint="A6"/>
                <w:sz w:val="21"/>
                <w:szCs w:val="20"/>
                <w:lang w:val="en-US"/>
              </w:rPr>
            </w:pPr>
            <w:r w:rsidRPr="00E63EBA">
              <w:rPr>
                <w:color w:val="595959" w:themeColor="text1" w:themeTint="A6"/>
                <w:sz w:val="21"/>
                <w:szCs w:val="20"/>
                <w:lang w:val="en-US"/>
              </w:rPr>
              <w:t>Build our knowledge of sustainability and willingly share it with others</w:t>
            </w:r>
          </w:p>
          <w:p w14:paraId="36E8827B" w14:textId="6B157D04" w:rsidR="002C29A4" w:rsidRPr="001C1A2E" w:rsidRDefault="002C29A4" w:rsidP="001B5FD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14:paraId="6F2523E7" w14:textId="77777777" w:rsidR="00961FE9" w:rsidRPr="00961FE9" w:rsidRDefault="00961FE9" w:rsidP="001B5FD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937AA" w:rsidRPr="001C1A2E" w14:paraId="6C5CBA9F" w14:textId="77777777" w:rsidTr="009937AA">
        <w:trPr>
          <w:trHeight w:val="1377"/>
        </w:trPr>
        <w:tc>
          <w:tcPr>
            <w:tcW w:w="9067" w:type="dxa"/>
            <w:gridSpan w:val="2"/>
          </w:tcPr>
          <w:p w14:paraId="53F80175" w14:textId="45ED6383" w:rsidR="009937AA" w:rsidRPr="00961FE9" w:rsidRDefault="009937AA" w:rsidP="001B5FD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3CAA966A" wp14:editId="77592A02">
                  <wp:extent cx="662305" cy="607762"/>
                  <wp:effectExtent l="0" t="0" r="0" b="1905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429" cy="654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655719C2" wp14:editId="598426C7">
                  <wp:extent cx="662731" cy="601081"/>
                  <wp:effectExtent l="0" t="0" r="0" b="0"/>
                  <wp:docPr id="3" name="Picture 3" descr="A picture containing stop, red, sign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799" cy="6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F12741A" wp14:editId="01FCF832">
                  <wp:extent cx="704675" cy="611461"/>
                  <wp:effectExtent l="0" t="0" r="0" b="0"/>
                  <wp:docPr id="4" name="Picture 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98" cy="655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142344DF" wp14:editId="2815E6B8">
                  <wp:extent cx="663688" cy="596282"/>
                  <wp:effectExtent l="0" t="0" r="0" b="635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62" cy="614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73C9E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031A6042" wp14:editId="25EB6DF0">
                  <wp:extent cx="659765" cy="595586"/>
                  <wp:effectExtent l="0" t="0" r="63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649" cy="65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54FCC774" wp14:editId="007C8B8E">
                  <wp:extent cx="666365" cy="596358"/>
                  <wp:effectExtent l="0" t="0" r="0" b="635"/>
                  <wp:docPr id="7" name="Picture 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152" cy="615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937AA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41073077" wp14:editId="4BDB0E36">
                  <wp:extent cx="651402" cy="591948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096" cy="609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ACD874C" wp14:editId="2985944D">
                  <wp:extent cx="660068" cy="583612"/>
                  <wp:effectExtent l="0" t="0" r="635" b="635"/>
                  <wp:docPr id="5" name="Picture 5" descr="A picture containing g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68" cy="583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DBF54" w14:textId="184D2F1C" w:rsidR="00961FE9" w:rsidRDefault="00961FE9" w:rsidP="001B5FD6">
      <w:pPr>
        <w:jc w:val="both"/>
        <w:rPr>
          <w:sz w:val="28"/>
          <w:szCs w:val="28"/>
          <w:lang w:val="en-US"/>
        </w:rPr>
      </w:pPr>
    </w:p>
    <w:p w14:paraId="6414F92C" w14:textId="77777777" w:rsidR="008F53F1" w:rsidRPr="001C1A2E" w:rsidRDefault="008F53F1" w:rsidP="001B5FD6">
      <w:pPr>
        <w:jc w:val="both"/>
        <w:rPr>
          <w:sz w:val="28"/>
          <w:szCs w:val="28"/>
          <w:lang w:val="en-US"/>
        </w:rPr>
      </w:pPr>
    </w:p>
    <w:sectPr w:rsidR="008F53F1" w:rsidRPr="001C1A2E" w:rsidSect="009D0F89">
      <w:headerReference w:type="default" r:id="rId14"/>
      <w:pgSz w:w="11900" w:h="16840"/>
      <w:pgMar w:top="1440" w:right="1440" w:bottom="1440" w:left="1440" w:header="4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CBB71" w14:textId="77777777" w:rsidR="007C5ADD" w:rsidRDefault="007C5ADD" w:rsidP="009D0F89">
      <w:r>
        <w:separator/>
      </w:r>
    </w:p>
  </w:endnote>
  <w:endnote w:type="continuationSeparator" w:id="0">
    <w:p w14:paraId="01511B63" w14:textId="77777777" w:rsidR="007C5ADD" w:rsidRDefault="007C5ADD" w:rsidP="009D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B0AC7" w14:textId="77777777" w:rsidR="007C5ADD" w:rsidRDefault="007C5ADD" w:rsidP="009D0F89">
      <w:r>
        <w:separator/>
      </w:r>
    </w:p>
  </w:footnote>
  <w:footnote w:type="continuationSeparator" w:id="0">
    <w:p w14:paraId="3962CBCF" w14:textId="77777777" w:rsidR="007C5ADD" w:rsidRDefault="007C5ADD" w:rsidP="009D0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9413A" w14:textId="2B643D7F" w:rsidR="009D0F89" w:rsidRDefault="009D0F89" w:rsidP="009D0F89">
    <w:pPr>
      <w:pStyle w:val="Header"/>
      <w:ind w:right="-1045"/>
      <w:jc w:val="right"/>
    </w:pPr>
    <w:r>
      <w:rPr>
        <w:noProof/>
      </w:rPr>
      <w:drawing>
        <wp:inline distT="0" distB="0" distL="0" distR="0" wp14:anchorId="3F980296" wp14:editId="1DC1A179">
          <wp:extent cx="4000500" cy="109220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7B"/>
    <w:rsid w:val="000240B7"/>
    <w:rsid w:val="00030D7A"/>
    <w:rsid w:val="00043A7B"/>
    <w:rsid w:val="00071773"/>
    <w:rsid w:val="001A5614"/>
    <w:rsid w:val="001B5FD6"/>
    <w:rsid w:val="001C1A2E"/>
    <w:rsid w:val="002C29A4"/>
    <w:rsid w:val="00573C9E"/>
    <w:rsid w:val="005C2D64"/>
    <w:rsid w:val="00775254"/>
    <w:rsid w:val="007C5ADD"/>
    <w:rsid w:val="008F53F1"/>
    <w:rsid w:val="009533BC"/>
    <w:rsid w:val="00961FE9"/>
    <w:rsid w:val="009937AA"/>
    <w:rsid w:val="009D0F89"/>
    <w:rsid w:val="00BB04B1"/>
    <w:rsid w:val="00E32849"/>
    <w:rsid w:val="00E6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13784"/>
  <w15:chartTrackingRefBased/>
  <w15:docId w15:val="{052C4C9A-4580-7B4F-838E-D4976F1C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F89"/>
  </w:style>
  <w:style w:type="paragraph" w:styleId="Footer">
    <w:name w:val="footer"/>
    <w:basedOn w:val="Normal"/>
    <w:link w:val="FooterChar"/>
    <w:uiPriority w:val="99"/>
    <w:unhideWhenUsed/>
    <w:rsid w:val="009D0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F89"/>
  </w:style>
  <w:style w:type="paragraph" w:styleId="BalloonText">
    <w:name w:val="Balloon Text"/>
    <w:basedOn w:val="Normal"/>
    <w:link w:val="BalloonTextChar"/>
    <w:uiPriority w:val="99"/>
    <w:semiHidden/>
    <w:unhideWhenUsed/>
    <w:rsid w:val="009D0F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8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6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C29A4"/>
  </w:style>
  <w:style w:type="paragraph" w:styleId="NormalWeb">
    <w:name w:val="Normal (Web)"/>
    <w:basedOn w:val="Normal"/>
    <w:uiPriority w:val="99"/>
    <w:semiHidden/>
    <w:unhideWhenUsed/>
    <w:rsid w:val="002C29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Collins</dc:creator>
  <cp:keywords/>
  <dc:description/>
  <cp:lastModifiedBy>Alice Taylor</cp:lastModifiedBy>
  <cp:revision>2</cp:revision>
  <dcterms:created xsi:type="dcterms:W3CDTF">2019-09-06T00:41:00Z</dcterms:created>
  <dcterms:modified xsi:type="dcterms:W3CDTF">2019-09-06T00:41:00Z</dcterms:modified>
</cp:coreProperties>
</file>